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DB24B2">
        <w:rPr>
          <w:rFonts w:asciiTheme="minorHAnsi" w:hAnsiTheme="minorHAnsi" w:cstheme="minorHAnsi"/>
        </w:rPr>
        <w:t xml:space="preserve">aid in </w:t>
      </w:r>
      <w:r w:rsidR="00D13847">
        <w:rPr>
          <w:rFonts w:asciiTheme="minorHAnsi" w:hAnsiTheme="minorHAnsi" w:cstheme="minorHAnsi"/>
        </w:rPr>
        <w:t>working alone safely while reducing risk</w:t>
      </w:r>
      <w:r w:rsidR="00103625">
        <w:rPr>
          <w:rFonts w:asciiTheme="minorHAnsi" w:hAnsiTheme="minorHAnsi" w:cstheme="minorHAnsi"/>
        </w:rPr>
        <w:t xml:space="preserve">. </w:t>
      </w:r>
      <w:r w:rsidR="00DD555F">
        <w:rPr>
          <w:rFonts w:asciiTheme="minorHAnsi" w:hAnsiTheme="minorHAnsi" w:cstheme="minorHAnsi"/>
        </w:rPr>
        <w:t xml:space="preserve"> </w:t>
      </w:r>
      <w:r w:rsidR="00206783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B230F4">
        <w:rPr>
          <w:rFonts w:asciiTheme="minorHAnsi" w:hAnsiTheme="minorHAnsi" w:cstheme="minorHAnsi"/>
        </w:rPr>
        <w:t>Ensure</w:t>
      </w:r>
      <w:r w:rsidR="00D73292">
        <w:rPr>
          <w:rFonts w:asciiTheme="minorHAnsi" w:hAnsiTheme="minorHAnsi" w:cstheme="minorHAnsi"/>
        </w:rPr>
        <w:t xml:space="preserve">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B40462" w:rsidP="00092AF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Working Alone Procedure</w:t>
            </w:r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D93E82" w:rsidRDefault="00654080" w:rsidP="00EA544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Choose a contact person that you will report to at regular intervals (</w:t>
            </w:r>
            <w:proofErr w:type="spellStart"/>
            <w:r>
              <w:rPr>
                <w:rFonts w:asciiTheme="minorHAnsi" w:hAnsiTheme="minorHAnsi" w:cstheme="minorHAnsi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 xml:space="preserve">. call once per hour) for the duration of your trip. If you aren’t alone on the vessel but you are working alone </w:t>
            </w:r>
            <w:r w:rsidR="00EA544F">
              <w:rPr>
                <w:rFonts w:asciiTheme="minorHAnsi" w:hAnsiTheme="minorHAnsi" w:cstheme="minorHAnsi"/>
              </w:rPr>
              <w:t>in a location</w:t>
            </w:r>
            <w:r>
              <w:rPr>
                <w:rFonts w:asciiTheme="minorHAnsi" w:hAnsiTheme="minorHAnsi" w:cstheme="minorHAnsi"/>
              </w:rPr>
              <w:t xml:space="preserve"> like the engine room, use verbal check-ins at regular intervals either by opening the door and shouting out, or through use of a radio headset. Some vessels are equipped with a live video feed from the engine room which can also be used for checking on the individual working alone. </w:t>
            </w:r>
          </w:p>
        </w:tc>
      </w:tr>
      <w:tr w:rsidR="005076C1" w:rsidRPr="00D93E82" w:rsidTr="00EA544F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8" w:space="0" w:color="F7CAAC" w:themeColor="accent2" w:themeTint="66"/>
            </w:tcBorders>
          </w:tcPr>
          <w:p w:rsidR="005076C1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8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654080" w:rsidP="006540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going out to sea alone, give your designated contact person your destination, estimated time of arrival, return time, and any alternate plans in the event of poor weather.</w:t>
            </w:r>
            <w:r w:rsidR="005076C1">
              <w:rPr>
                <w:rFonts w:asciiTheme="minorHAnsi" w:hAnsiTheme="minorHAnsi" w:cstheme="minorHAnsi"/>
              </w:rPr>
              <w:t xml:space="preserve"> </w:t>
            </w:r>
            <w:bookmarkStart w:id="3" w:name="_GoBack"/>
            <w:bookmarkEnd w:id="3"/>
          </w:p>
        </w:tc>
      </w:tr>
      <w:tr w:rsidR="00B535A2" w:rsidRPr="00D93E82" w:rsidTr="00EA544F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B528D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8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Default="00654080" w:rsidP="006540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going out to sea alone, develop an emergency plan to be followed by your contact person if you do not check-in on time (</w:t>
            </w:r>
            <w:proofErr w:type="spellStart"/>
            <w:r>
              <w:rPr>
                <w:rFonts w:asciiTheme="minorHAnsi" w:hAnsiTheme="minorHAnsi" w:cstheme="minorHAnsi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>. they call you and if they don’t receive a response, they contact Coast Guard)</w:t>
            </w:r>
            <w:r w:rsidR="00B37DF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654080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12" w:space="0" w:color="ED7D31" w:themeColor="accent2"/>
              <w:right w:val="single" w:sz="2" w:space="0" w:color="F7CAAC" w:themeColor="accent2" w:themeTint="66"/>
            </w:tcBorders>
          </w:tcPr>
          <w:p w:rsidR="00D93E82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B676CE" w:rsidRPr="00D93E82" w:rsidRDefault="00654080" w:rsidP="00F81AE7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Always perform a risk assessment before working alone to ensure all of the potential hazards have been addressed. </w:t>
            </w:r>
            <w:r w:rsidR="00B535A2">
              <w:rPr>
                <w:rFonts w:asciiTheme="minorHAnsi" w:hAnsiTheme="minorHAnsi" w:cstheme="minorHAnsi"/>
              </w:rPr>
              <w:t xml:space="preserve"> </w:t>
            </w:r>
            <w:r w:rsidR="000235E6">
              <w:rPr>
                <w:rFonts w:asciiTheme="minorHAnsi" w:hAnsiTheme="minorHAnsi" w:cstheme="minorHAnsi"/>
              </w:rPr>
              <w:t xml:space="preserve">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AF2131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Working Alone </w:t>
    </w:r>
    <w:r w:rsidR="00103625">
      <w:rPr>
        <w:rFonts w:asciiTheme="minorHAnsi" w:hAnsiTheme="minorHAnsi" w:cstheme="minorHAnsi"/>
        <w:color w:val="DD7C2D"/>
        <w:sz w:val="44"/>
        <w:szCs w:val="32"/>
      </w:rPr>
      <w:t xml:space="preserve">  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EA54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35E6"/>
    <w:rsid w:val="00066D67"/>
    <w:rsid w:val="00087DDD"/>
    <w:rsid w:val="00092AFC"/>
    <w:rsid w:val="000A78F7"/>
    <w:rsid w:val="000E12BC"/>
    <w:rsid w:val="00103625"/>
    <w:rsid w:val="00154D99"/>
    <w:rsid w:val="001737CD"/>
    <w:rsid w:val="001B266B"/>
    <w:rsid w:val="00206783"/>
    <w:rsid w:val="00213772"/>
    <w:rsid w:val="0025008F"/>
    <w:rsid w:val="002D626C"/>
    <w:rsid w:val="0035391B"/>
    <w:rsid w:val="003566E0"/>
    <w:rsid w:val="0036679B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75AFD"/>
    <w:rsid w:val="00583C46"/>
    <w:rsid w:val="005A4825"/>
    <w:rsid w:val="006200CE"/>
    <w:rsid w:val="00654080"/>
    <w:rsid w:val="006668E4"/>
    <w:rsid w:val="00693834"/>
    <w:rsid w:val="006F2B45"/>
    <w:rsid w:val="007074E3"/>
    <w:rsid w:val="00712170"/>
    <w:rsid w:val="00774EFA"/>
    <w:rsid w:val="00793691"/>
    <w:rsid w:val="007B3FEC"/>
    <w:rsid w:val="007C58BC"/>
    <w:rsid w:val="00850CBD"/>
    <w:rsid w:val="008876D6"/>
    <w:rsid w:val="008A74BA"/>
    <w:rsid w:val="0093749E"/>
    <w:rsid w:val="00975E87"/>
    <w:rsid w:val="009A7380"/>
    <w:rsid w:val="009E1974"/>
    <w:rsid w:val="009F19CB"/>
    <w:rsid w:val="00A42F70"/>
    <w:rsid w:val="00A547E8"/>
    <w:rsid w:val="00A87FE2"/>
    <w:rsid w:val="00A91450"/>
    <w:rsid w:val="00A91BA9"/>
    <w:rsid w:val="00AF2131"/>
    <w:rsid w:val="00B17C92"/>
    <w:rsid w:val="00B230F4"/>
    <w:rsid w:val="00B37DF6"/>
    <w:rsid w:val="00B40462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13847"/>
    <w:rsid w:val="00D35777"/>
    <w:rsid w:val="00D70561"/>
    <w:rsid w:val="00D73292"/>
    <w:rsid w:val="00D76F84"/>
    <w:rsid w:val="00D93E82"/>
    <w:rsid w:val="00DA424C"/>
    <w:rsid w:val="00DB24B2"/>
    <w:rsid w:val="00DD555F"/>
    <w:rsid w:val="00DE1E7A"/>
    <w:rsid w:val="00DF3CE8"/>
    <w:rsid w:val="00E2499B"/>
    <w:rsid w:val="00E30192"/>
    <w:rsid w:val="00E87BD9"/>
    <w:rsid w:val="00EA544F"/>
    <w:rsid w:val="00EE5506"/>
    <w:rsid w:val="00F27288"/>
    <w:rsid w:val="00F50FF6"/>
    <w:rsid w:val="00F5650E"/>
    <w:rsid w:val="00F81AE7"/>
    <w:rsid w:val="00FC4D1C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62</cp:revision>
  <cp:lastPrinted>2019-02-12T19:23:00Z</cp:lastPrinted>
  <dcterms:created xsi:type="dcterms:W3CDTF">2019-02-12T19:46:00Z</dcterms:created>
  <dcterms:modified xsi:type="dcterms:W3CDTF">2019-04-05T12:52:00Z</dcterms:modified>
</cp:coreProperties>
</file>