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35391B">
        <w:rPr>
          <w:rFonts w:asciiTheme="minorHAnsi" w:hAnsiTheme="minorHAnsi" w:cstheme="minorHAnsi"/>
        </w:rPr>
        <w:t xml:space="preserve">safely </w:t>
      </w:r>
      <w:r w:rsidR="00F733C4">
        <w:rPr>
          <w:rFonts w:asciiTheme="minorHAnsi" w:hAnsiTheme="minorHAnsi" w:cstheme="minorHAnsi"/>
        </w:rPr>
        <w:t>use the hauler for bringing in rope</w:t>
      </w:r>
      <w:r>
        <w:rPr>
          <w:rFonts w:asciiTheme="minorHAnsi" w:hAnsiTheme="minorHAnsi" w:cstheme="minorHAnsi"/>
        </w:rPr>
        <w:t>.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master.</w:t>
      </w:r>
      <w:r w:rsidR="00DF3CE8">
        <w:rPr>
          <w:rFonts w:asciiTheme="minorHAnsi" w:hAnsiTheme="minorHAnsi" w:cstheme="minorHAnsi"/>
        </w:rPr>
        <w:t xml:space="preserve"> 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38196C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Hauler Use Procedure</w:t>
            </w:r>
          </w:p>
        </w:tc>
      </w:tr>
      <w:tr w:rsidR="00D93E82" w:rsidRPr="00D93E82" w:rsidTr="00C34C07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247BD" w:rsidRPr="00D93E82" w:rsidRDefault="00E258E3" w:rsidP="00E258E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heck</w:t>
            </w:r>
            <w:r>
              <w:rPr>
                <w:rFonts w:asciiTheme="minorHAnsi" w:hAnsiTheme="minorHAnsi" w:cstheme="minorHAnsi"/>
              </w:rPr>
              <w:t xml:space="preserve"> hauler</w:t>
            </w:r>
            <w:r>
              <w:rPr>
                <w:rFonts w:asciiTheme="minorHAnsi" w:hAnsiTheme="minorHAnsi" w:cstheme="minorHAnsi"/>
              </w:rPr>
              <w:t xml:space="preserve"> prior to each </w:t>
            </w:r>
            <w:r>
              <w:rPr>
                <w:rFonts w:asciiTheme="minorHAnsi" w:hAnsiTheme="minorHAnsi" w:cstheme="minorHAnsi"/>
              </w:rPr>
              <w:t xml:space="preserve">trip to ensure it </w:t>
            </w:r>
            <w:r w:rsidR="0058521D">
              <w:rPr>
                <w:rFonts w:asciiTheme="minorHAnsi" w:hAnsiTheme="minorHAnsi" w:cstheme="minorHAnsi"/>
              </w:rPr>
              <w:t xml:space="preserve">is well maintained and </w:t>
            </w:r>
            <w:r>
              <w:rPr>
                <w:rFonts w:asciiTheme="minorHAnsi" w:hAnsiTheme="minorHAnsi" w:cstheme="minorHAnsi"/>
              </w:rPr>
              <w:t xml:space="preserve">in optimum working condition.  </w:t>
            </w:r>
            <w:r w:rsidR="0058521D">
              <w:rPr>
                <w:rFonts w:asciiTheme="minorHAnsi" w:hAnsiTheme="minorHAnsi" w:cstheme="minorHAnsi"/>
              </w:rPr>
              <w:t>This includes checking for wear</w:t>
            </w:r>
            <w:r w:rsidR="007A08FC">
              <w:rPr>
                <w:rFonts w:asciiTheme="minorHAnsi" w:hAnsiTheme="minorHAnsi" w:cstheme="minorHAnsi"/>
              </w:rPr>
              <w:t xml:space="preserve">, </w:t>
            </w:r>
            <w:r w:rsidR="0058521D">
              <w:rPr>
                <w:rFonts w:asciiTheme="minorHAnsi" w:hAnsiTheme="minorHAnsi" w:cstheme="minorHAnsi"/>
              </w:rPr>
              <w:t>greasing the rollers, checking condition of the sheaves</w:t>
            </w:r>
            <w:r w:rsidR="007A08FC">
              <w:rPr>
                <w:rFonts w:asciiTheme="minorHAnsi" w:hAnsiTheme="minorHAnsi" w:cstheme="minorHAnsi"/>
              </w:rPr>
              <w:t>, and testing the switch</w:t>
            </w:r>
            <w:r w:rsidR="0058521D">
              <w:rPr>
                <w:rFonts w:asciiTheme="minorHAnsi" w:hAnsiTheme="minorHAnsi" w:cstheme="minorHAnsi"/>
              </w:rPr>
              <w:t xml:space="preserve">. </w:t>
            </w:r>
            <w:r w:rsidR="00DF3C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8521D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B676CE" w:rsidRPr="00D93E82" w:rsidRDefault="0058521D" w:rsidP="0058521D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Ensure hauler is mounted overhead and away from limbs</w:t>
            </w:r>
            <w:r w:rsidR="007A08FC">
              <w:rPr>
                <w:rFonts w:asciiTheme="minorHAnsi" w:hAnsiTheme="minorHAnsi" w:cstheme="minorHAnsi"/>
              </w:rPr>
              <w:t xml:space="preserve"> before powering on.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7A08FC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equipment and personnel stay at a safe distance from hauler while it is running. If the rope jumps out of the hauler it may cause injury.</w:t>
            </w:r>
          </w:p>
        </w:tc>
      </w:tr>
      <w:tr w:rsidR="00D93E82" w:rsidRPr="00D93E82" w:rsidTr="0055072C">
        <w:trPr>
          <w:trHeight w:val="890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E258E3" w:rsidP="00E258E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E258E3" w:rsidP="00E258E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se a tool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to put </w:t>
            </w:r>
            <w:r>
              <w:rPr>
                <w:rFonts w:asciiTheme="minorHAnsi" w:hAnsiTheme="minorHAnsi" w:cstheme="minorHAnsi"/>
              </w:rPr>
              <w:t xml:space="preserve">the rope in the hauler if it jumps out of place.  Never use your hands.  </w:t>
            </w:r>
          </w:p>
        </w:tc>
      </w:tr>
      <w:tr w:rsidR="00D93E82" w:rsidRPr="00D93E82" w:rsidTr="00DF3CE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E258E3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E258E3" w:rsidP="00E258E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nsure the switch is firmly in the off position </w:t>
            </w:r>
            <w:r>
              <w:rPr>
                <w:rFonts w:asciiTheme="minorHAnsi" w:hAnsiTheme="minorHAnsi" w:cstheme="minorHAnsi"/>
              </w:rPr>
              <w:t xml:space="preserve">when servicing the hauler </w:t>
            </w:r>
            <w:r>
              <w:rPr>
                <w:rFonts w:asciiTheme="minorHAnsi" w:hAnsiTheme="minorHAnsi" w:cstheme="minorHAnsi"/>
              </w:rPr>
              <w:t>and notify your crewmates that they need to stay away from the switch until you’re finished</w:t>
            </w:r>
            <w:r>
              <w:rPr>
                <w:rFonts w:asciiTheme="minorHAnsi" w:hAnsiTheme="minorHAnsi" w:cstheme="minorHAnsi"/>
              </w:rPr>
              <w:t xml:space="preserve">.  </w:t>
            </w:r>
            <w:r w:rsidR="00BA28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B61D7">
        <w:tc>
          <w:tcPr>
            <w:tcW w:w="466" w:type="pct"/>
            <w:tcBorders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E258E3" w:rsidP="00E258E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4" w:space="0" w:color="F7CAAC" w:themeColor="accent2" w:themeTint="66"/>
              <w:right w:val="single" w:sz="12" w:space="0" w:color="ED7D31" w:themeColor="accent2"/>
            </w:tcBorders>
          </w:tcPr>
          <w:p w:rsidR="00D93E82" w:rsidRPr="00793691" w:rsidRDefault="005B61D7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Never wrap the rope around your hand as it may pull you into the hauler causing serious injury. </w:t>
            </w:r>
            <w:r w:rsidR="009E19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DF3504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E258E3" w:rsidP="00E258E3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bookmarkStart w:id="3" w:name="_GoBack"/>
            <w:bookmarkEnd w:id="3"/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E258E3" w:rsidP="00EE550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B61D7">
              <w:rPr>
                <w:rFonts w:asciiTheme="minorHAnsi" w:hAnsiTheme="minorHAnsi" w:cstheme="minorHAnsi"/>
              </w:rPr>
              <w:t>lways keep a knife nearby in case a rope needs to be cut.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42F4C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Hauler Use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                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E258E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B266B"/>
    <w:rsid w:val="00213772"/>
    <w:rsid w:val="002365F1"/>
    <w:rsid w:val="0025008F"/>
    <w:rsid w:val="0035391B"/>
    <w:rsid w:val="003566E0"/>
    <w:rsid w:val="0036679B"/>
    <w:rsid w:val="0038196C"/>
    <w:rsid w:val="003E6D5D"/>
    <w:rsid w:val="004064D6"/>
    <w:rsid w:val="004150B8"/>
    <w:rsid w:val="004A3AA5"/>
    <w:rsid w:val="004A40B4"/>
    <w:rsid w:val="004A68DB"/>
    <w:rsid w:val="0055072C"/>
    <w:rsid w:val="00550979"/>
    <w:rsid w:val="0058521D"/>
    <w:rsid w:val="005A4825"/>
    <w:rsid w:val="005B61D7"/>
    <w:rsid w:val="006200CE"/>
    <w:rsid w:val="006668E4"/>
    <w:rsid w:val="00693834"/>
    <w:rsid w:val="007074E3"/>
    <w:rsid w:val="00774EFA"/>
    <w:rsid w:val="00793691"/>
    <w:rsid w:val="007A08FC"/>
    <w:rsid w:val="007C58BC"/>
    <w:rsid w:val="008876D6"/>
    <w:rsid w:val="008A74BA"/>
    <w:rsid w:val="0093749E"/>
    <w:rsid w:val="009A7380"/>
    <w:rsid w:val="009E1974"/>
    <w:rsid w:val="009F19CB"/>
    <w:rsid w:val="00A87FE2"/>
    <w:rsid w:val="00A91450"/>
    <w:rsid w:val="00A91BA9"/>
    <w:rsid w:val="00B455DE"/>
    <w:rsid w:val="00B676CE"/>
    <w:rsid w:val="00BA2880"/>
    <w:rsid w:val="00BA6801"/>
    <w:rsid w:val="00BF23CA"/>
    <w:rsid w:val="00C247BD"/>
    <w:rsid w:val="00C34C07"/>
    <w:rsid w:val="00C42F4C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E1E7A"/>
    <w:rsid w:val="00DF3504"/>
    <w:rsid w:val="00DF3CE8"/>
    <w:rsid w:val="00E258E3"/>
    <w:rsid w:val="00E30192"/>
    <w:rsid w:val="00E87BD9"/>
    <w:rsid w:val="00EE5506"/>
    <w:rsid w:val="00F50FF6"/>
    <w:rsid w:val="00F733C4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2019-04-08T10:48:00Z</dcterms:created>
  <dcterms:modified xsi:type="dcterms:W3CDTF">2019-04-08T10:48:00Z</dcterms:modified>
</cp:coreProperties>
</file>