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D73292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206783">
        <w:rPr>
          <w:rFonts w:asciiTheme="minorHAnsi" w:hAnsiTheme="minorHAnsi" w:cstheme="minorHAnsi"/>
        </w:rPr>
        <w:t xml:space="preserve">aid in </w:t>
      </w:r>
      <w:r w:rsidR="00F50BCD">
        <w:rPr>
          <w:rFonts w:asciiTheme="minorHAnsi" w:hAnsiTheme="minorHAnsi" w:cstheme="minorHAnsi"/>
        </w:rPr>
        <w:t>reducing hearing damage due to exposure to excessively loud noises while on the vessel</w:t>
      </w:r>
      <w:r w:rsidR="00206783">
        <w:rPr>
          <w:rFonts w:asciiTheme="minorHAnsi" w:hAnsiTheme="minorHAnsi" w:cstheme="minorHAnsi"/>
        </w:rPr>
        <w:t xml:space="preserve">.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D73292">
        <w:rPr>
          <w:rFonts w:asciiTheme="minorHAnsi" w:hAnsiTheme="minorHAnsi" w:cstheme="minorHAnsi"/>
        </w:rPr>
        <w:t xml:space="preserve">Ensure this procedure is </w:t>
      </w:r>
      <w:r w:rsidR="003566E0">
        <w:rPr>
          <w:rFonts w:asciiTheme="minorHAnsi" w:hAnsiTheme="minorHAnsi" w:cstheme="minorHAnsi"/>
        </w:rPr>
        <w:t>carried out as written and to make any changes needed to this procedure to ensure the safety of the crew</w:t>
      </w:r>
      <w:r w:rsidR="00D73292">
        <w:rPr>
          <w:rFonts w:asciiTheme="minorHAnsi" w:hAnsiTheme="minorHAnsi" w:cstheme="minorHAnsi"/>
        </w:rPr>
        <w:t>.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D73292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D73292">
        <w:rPr>
          <w:rFonts w:asciiTheme="minorHAnsi" w:hAnsiTheme="minorHAnsi" w:cstheme="minorHAnsi"/>
        </w:rPr>
        <w:t>Follow the procedure below at the direction of the vessel master</w:t>
      </w:r>
      <w:r w:rsidR="00DF3CE8">
        <w:rPr>
          <w:rFonts w:asciiTheme="minorHAnsi" w:hAnsiTheme="minorHAnsi" w:cstheme="minorHAnsi"/>
        </w:rPr>
        <w:t>.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2" w:name="_Toc510682182"/>
      <w:r w:rsidRPr="00D93E82">
        <w:rPr>
          <w:rFonts w:asciiTheme="minorHAnsi" w:hAnsiTheme="minorHAnsi" w:cstheme="minorHAnsi"/>
        </w:rPr>
        <w:t>Procedure</w:t>
      </w:r>
      <w:bookmarkEnd w:id="2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F50BCD" w:rsidP="00B676C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High Noise Levels</w:t>
            </w:r>
          </w:p>
        </w:tc>
      </w:tr>
      <w:tr w:rsidR="00D93E82" w:rsidRPr="00D93E82" w:rsidTr="00C34C07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:rsidR="00214512" w:rsidRDefault="00F50BCD" w:rsidP="0021451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Assess </w:t>
            </w:r>
            <w:r w:rsidR="00214512">
              <w:rPr>
                <w:rFonts w:asciiTheme="minorHAnsi" w:hAnsiTheme="minorHAnsi" w:cstheme="minorHAnsi"/>
              </w:rPr>
              <w:t xml:space="preserve">the high </w:t>
            </w:r>
            <w:r>
              <w:rPr>
                <w:rFonts w:asciiTheme="minorHAnsi" w:hAnsiTheme="minorHAnsi" w:cstheme="minorHAnsi"/>
              </w:rPr>
              <w:t xml:space="preserve">noise levels </w:t>
            </w:r>
            <w:r w:rsidR="00214512">
              <w:rPr>
                <w:rFonts w:asciiTheme="minorHAnsi" w:hAnsiTheme="minorHAnsi" w:cstheme="minorHAnsi"/>
              </w:rPr>
              <w:t>you are exposed to in carrying out your</w:t>
            </w:r>
            <w:r>
              <w:rPr>
                <w:rFonts w:asciiTheme="minorHAnsi" w:hAnsiTheme="minorHAnsi" w:cstheme="minorHAnsi"/>
              </w:rPr>
              <w:t xml:space="preserve"> daily tasks</w:t>
            </w:r>
            <w:r w:rsidR="00214512">
              <w:rPr>
                <w:rFonts w:asciiTheme="minorHAnsi" w:hAnsiTheme="minorHAnsi" w:cstheme="minorHAnsi"/>
              </w:rPr>
              <w:t xml:space="preserve"> by taking noise level measurements using a sound level meter or </w:t>
            </w:r>
            <w:r>
              <w:rPr>
                <w:rFonts w:asciiTheme="minorHAnsi" w:hAnsiTheme="minorHAnsi" w:cstheme="minorHAnsi"/>
              </w:rPr>
              <w:t xml:space="preserve">dosimeter to read noise levels. </w:t>
            </w:r>
          </w:p>
          <w:p w:rsidR="00C247BD" w:rsidRPr="00D93E82" w:rsidRDefault="00F50BCD" w:rsidP="0021451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 don’t have access to one, there are apps available for mobile phones that are able to read decibel levels</w:t>
            </w:r>
            <w:r w:rsidR="009C2DE8">
              <w:rPr>
                <w:rFonts w:asciiTheme="minorHAnsi" w:hAnsiTheme="minorHAnsi" w:cstheme="minorHAnsi"/>
              </w:rPr>
              <w:t xml:space="preserve"> with some accuracy</w:t>
            </w:r>
            <w:r>
              <w:rPr>
                <w:rFonts w:asciiTheme="minorHAnsi" w:hAnsiTheme="minorHAnsi" w:cstheme="minorHAnsi"/>
              </w:rPr>
              <w:t>. Another method of testing noise is to stand at arm’s length from one of your crewmates</w:t>
            </w:r>
            <w:r w:rsidR="00B1135B">
              <w:rPr>
                <w:rFonts w:asciiTheme="minorHAnsi" w:hAnsiTheme="minorHAnsi" w:cstheme="minorHAnsi"/>
              </w:rPr>
              <w:t xml:space="preserve"> and attempt to have a conversation. I</w:t>
            </w:r>
            <w:r>
              <w:rPr>
                <w:rFonts w:asciiTheme="minorHAnsi" w:hAnsiTheme="minorHAnsi" w:cstheme="minorHAnsi"/>
              </w:rPr>
              <w:t xml:space="preserve">f you have to shout to </w:t>
            </w:r>
            <w:r w:rsidR="00B1135B">
              <w:rPr>
                <w:rFonts w:asciiTheme="minorHAnsi" w:hAnsiTheme="minorHAnsi" w:cstheme="minorHAnsi"/>
              </w:rPr>
              <w:t>be heard at this distance</w:t>
            </w:r>
            <w:r>
              <w:rPr>
                <w:rFonts w:asciiTheme="minorHAnsi" w:hAnsiTheme="minorHAnsi" w:cstheme="minorHAnsi"/>
              </w:rPr>
              <w:t xml:space="preserve">, noise levels are most likely high enough to cause hearing damage.  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B676CE" w:rsidRPr="00D93E82" w:rsidRDefault="00214512" w:rsidP="00214512">
            <w:pPr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Identify</w:t>
            </w:r>
            <w:r w:rsidR="00A90EEE">
              <w:rPr>
                <w:rFonts w:asciiTheme="minorHAnsi" w:hAnsiTheme="minorHAnsi" w:cstheme="minorHAnsi"/>
              </w:rPr>
              <w:t xml:space="preserve"> areas where noise levels are dangerously high and find a means to reduce or eliminate that noise. This often me</w:t>
            </w:r>
            <w:r w:rsidR="009C2DE8">
              <w:rPr>
                <w:rFonts w:asciiTheme="minorHAnsi" w:hAnsiTheme="minorHAnsi" w:cstheme="minorHAnsi"/>
              </w:rPr>
              <w:t>ans installing sound insulation, doors or bulkheads to isolate rooms, etc.</w:t>
            </w:r>
            <w:r w:rsidR="00975E8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214512" w:rsidRDefault="00A90EEE" w:rsidP="0021451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you are unable to reduce noise to an acceptable level, </w:t>
            </w:r>
            <w:r w:rsidR="00214512">
              <w:rPr>
                <w:rFonts w:asciiTheme="minorHAnsi" w:hAnsiTheme="minorHAnsi" w:cstheme="minorHAnsi"/>
              </w:rPr>
              <w:t>protect crew members from the source of the noise</w:t>
            </w:r>
            <w:r>
              <w:rPr>
                <w:rFonts w:asciiTheme="minorHAnsi" w:hAnsiTheme="minorHAnsi" w:cstheme="minorHAnsi"/>
              </w:rPr>
              <w:t xml:space="preserve"> using hearing protection. </w:t>
            </w:r>
          </w:p>
          <w:p w:rsidR="00D93E82" w:rsidRPr="00D93E82" w:rsidRDefault="00A90EEE" w:rsidP="00214512">
            <w:pPr>
              <w:spacing w:before="120" w:after="120"/>
              <w:rPr>
                <w:rFonts w:asciiTheme="minorHAnsi" w:hAnsiTheme="minorHAnsi" w:cstheme="minorHAnsi"/>
              </w:rPr>
            </w:pPr>
            <w:bookmarkStart w:id="3" w:name="_GoBack"/>
            <w:bookmarkEnd w:id="3"/>
            <w:r>
              <w:rPr>
                <w:rFonts w:asciiTheme="minorHAnsi" w:hAnsiTheme="minorHAnsi" w:cstheme="minorHAnsi"/>
              </w:rPr>
              <w:t xml:space="preserve">Ear plugs and ear muffs are often able to reduce noise levels by 20-30 decibels which can be enough to prevent hearing damage. They are low cost solutions and can be purchased at most hardware stores.  </w:t>
            </w:r>
            <w:r w:rsidR="0071217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B25050">
        <w:trPr>
          <w:trHeight w:val="895"/>
        </w:trPr>
        <w:tc>
          <w:tcPr>
            <w:tcW w:w="466" w:type="pct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34" w:type="pct"/>
            <w:tcBorders>
              <w:bottom w:val="single" w:sz="12" w:space="0" w:color="ED7D31" w:themeColor="accent2"/>
              <w:right w:val="single" w:sz="12" w:space="0" w:color="ED7D31" w:themeColor="accent2"/>
            </w:tcBorders>
            <w:vAlign w:val="bottom"/>
          </w:tcPr>
          <w:p w:rsidR="00F81AE7" w:rsidRPr="00A90EEE" w:rsidRDefault="00A90EEE" w:rsidP="00B25050">
            <w:pPr>
              <w:spacing w:after="120"/>
              <w:rPr>
                <w:rFonts w:asciiTheme="minorHAnsi" w:hAnsiTheme="minorHAnsi" w:cstheme="minorHAnsi"/>
                <w:b/>
                <w:i/>
              </w:rPr>
            </w:pPr>
            <w:r w:rsidRPr="00A90EEE">
              <w:rPr>
                <w:rFonts w:asciiTheme="minorHAnsi" w:hAnsiTheme="minorHAnsi" w:cstheme="minorHAnsi"/>
                <w:b/>
                <w:i/>
              </w:rPr>
              <w:t xml:space="preserve">Remember: hearing damage typically occurs slowly over many years. This slow progression means you usually </w:t>
            </w:r>
            <w:r>
              <w:rPr>
                <w:rFonts w:asciiTheme="minorHAnsi" w:hAnsiTheme="minorHAnsi" w:cstheme="minorHAnsi"/>
                <w:b/>
                <w:i/>
              </w:rPr>
              <w:t>w</w:t>
            </w:r>
            <w:r w:rsidRPr="00A90EEE">
              <w:rPr>
                <w:rFonts w:asciiTheme="minorHAnsi" w:hAnsiTheme="minorHAnsi" w:cstheme="minorHAnsi"/>
                <w:b/>
                <w:i/>
              </w:rPr>
              <w:t xml:space="preserve">on’t notice damage is done until it’s too late. </w:t>
            </w:r>
            <w:r>
              <w:rPr>
                <w:rFonts w:asciiTheme="minorHAnsi" w:hAnsiTheme="minorHAnsi" w:cstheme="minorHAnsi"/>
                <w:b/>
                <w:i/>
              </w:rPr>
              <w:t>This</w:t>
            </w:r>
            <w:r w:rsidRPr="00A90EEE">
              <w:rPr>
                <w:rFonts w:asciiTheme="minorHAnsi" w:hAnsiTheme="minorHAnsi" w:cstheme="minorHAnsi"/>
                <w:b/>
                <w:i/>
              </w:rPr>
              <w:t xml:space="preserve"> damage is permanent. </w:t>
            </w:r>
          </w:p>
        </w:tc>
      </w:tr>
    </w:tbl>
    <w:p w:rsidR="006668E4" w:rsidRDefault="006668E4"/>
    <w:sectPr w:rsidR="006668E4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C92700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>High Noise Levels</w:t>
    </w:r>
    <w:r w:rsidR="0035391B">
      <w:rPr>
        <w:rFonts w:asciiTheme="minorHAnsi" w:hAnsiTheme="minorHAnsi" w:cstheme="minorHAnsi"/>
        <w:color w:val="DD7C2D"/>
        <w:sz w:val="44"/>
        <w:szCs w:val="32"/>
      </w:rPr>
      <w:t xml:space="preserve">                                    </w:t>
    </w:r>
    <w:r w:rsidR="00550979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21451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9pt;height:55.3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A257D"/>
    <w:multiLevelType w:val="hybridMultilevel"/>
    <w:tmpl w:val="DD50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66D67"/>
    <w:rsid w:val="00087DDD"/>
    <w:rsid w:val="000A78F7"/>
    <w:rsid w:val="00154D99"/>
    <w:rsid w:val="001737CD"/>
    <w:rsid w:val="001B266B"/>
    <w:rsid w:val="00206783"/>
    <w:rsid w:val="00213772"/>
    <w:rsid w:val="00214512"/>
    <w:rsid w:val="0025008F"/>
    <w:rsid w:val="0035391B"/>
    <w:rsid w:val="003566E0"/>
    <w:rsid w:val="0036679B"/>
    <w:rsid w:val="003E6D5D"/>
    <w:rsid w:val="004150B8"/>
    <w:rsid w:val="004A3AA5"/>
    <w:rsid w:val="004A40B4"/>
    <w:rsid w:val="004A68DB"/>
    <w:rsid w:val="0055072C"/>
    <w:rsid w:val="00550979"/>
    <w:rsid w:val="005A4825"/>
    <w:rsid w:val="006200CE"/>
    <w:rsid w:val="006668E4"/>
    <w:rsid w:val="00693834"/>
    <w:rsid w:val="006F2B45"/>
    <w:rsid w:val="007074E3"/>
    <w:rsid w:val="00712170"/>
    <w:rsid w:val="00774EFA"/>
    <w:rsid w:val="00793691"/>
    <w:rsid w:val="007C58BC"/>
    <w:rsid w:val="008876D6"/>
    <w:rsid w:val="008A74BA"/>
    <w:rsid w:val="0093749E"/>
    <w:rsid w:val="00975E87"/>
    <w:rsid w:val="009A7380"/>
    <w:rsid w:val="009C2DE8"/>
    <w:rsid w:val="009E1974"/>
    <w:rsid w:val="009F19CB"/>
    <w:rsid w:val="00A87FE2"/>
    <w:rsid w:val="00A90EEE"/>
    <w:rsid w:val="00A91450"/>
    <w:rsid w:val="00A91BA9"/>
    <w:rsid w:val="00B1135B"/>
    <w:rsid w:val="00B25050"/>
    <w:rsid w:val="00B455DE"/>
    <w:rsid w:val="00B676CE"/>
    <w:rsid w:val="00BA6801"/>
    <w:rsid w:val="00BF23CA"/>
    <w:rsid w:val="00C247BD"/>
    <w:rsid w:val="00C34C07"/>
    <w:rsid w:val="00C92700"/>
    <w:rsid w:val="00CA3D1A"/>
    <w:rsid w:val="00CB1989"/>
    <w:rsid w:val="00CF4A8C"/>
    <w:rsid w:val="00CF7CA8"/>
    <w:rsid w:val="00D35777"/>
    <w:rsid w:val="00D70561"/>
    <w:rsid w:val="00D73292"/>
    <w:rsid w:val="00D93E82"/>
    <w:rsid w:val="00DA424C"/>
    <w:rsid w:val="00DE1E7A"/>
    <w:rsid w:val="00DF3CE8"/>
    <w:rsid w:val="00E2499B"/>
    <w:rsid w:val="00E30192"/>
    <w:rsid w:val="00E87BD9"/>
    <w:rsid w:val="00EE5506"/>
    <w:rsid w:val="00F50BCD"/>
    <w:rsid w:val="00F50FF6"/>
    <w:rsid w:val="00F81AE7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Brenda Greenslade</cp:lastModifiedBy>
  <cp:revision>2</cp:revision>
  <cp:lastPrinted>2019-02-12T19:23:00Z</cp:lastPrinted>
  <dcterms:created xsi:type="dcterms:W3CDTF">2019-04-08T10:53:00Z</dcterms:created>
  <dcterms:modified xsi:type="dcterms:W3CDTF">2019-04-08T10:53:00Z</dcterms:modified>
</cp:coreProperties>
</file>