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6D7531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 pots can often weight upwards of 150lbs and must be handled carefully to prevent injury. The purpose of this procedure is t</w:t>
      </w:r>
      <w:r w:rsidR="00D73292">
        <w:rPr>
          <w:rFonts w:asciiTheme="minorHAnsi" w:hAnsiTheme="minorHAnsi" w:cstheme="minorHAnsi"/>
        </w:rPr>
        <w:t xml:space="preserve">o </w:t>
      </w:r>
      <w:r w:rsidR="00C478F6">
        <w:rPr>
          <w:rFonts w:asciiTheme="minorHAnsi" w:hAnsiTheme="minorHAnsi" w:cstheme="minorHAnsi"/>
        </w:rPr>
        <w:t xml:space="preserve">aid in safe handling of pots after hauling.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C478F6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Handling Pots</w:t>
            </w:r>
          </w:p>
        </w:tc>
      </w:tr>
      <w:tr w:rsidR="00D93E82" w:rsidRPr="00D93E82" w:rsidTr="00C34C07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C247BD" w:rsidRPr="00D93E82" w:rsidRDefault="0055430F" w:rsidP="00C34C0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Wait for pots to be lowered onto the deck before grabbing onto them. Let the machinery do the work for you.</w:t>
            </w:r>
            <w:r w:rsidR="006D7531">
              <w:rPr>
                <w:rFonts w:asciiTheme="minorHAnsi" w:hAnsiTheme="minorHAnsi" w:cstheme="minorHAnsi"/>
              </w:rPr>
              <w:t xml:space="preserve"> 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  <w:r w:rsidR="00DF3C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676CE" w:rsidRPr="00D93E82" w:rsidRDefault="00C26410" w:rsidP="00C26410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ssess </w:t>
            </w:r>
            <w:r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weigh</w:t>
            </w:r>
            <w:r>
              <w:rPr>
                <w:rFonts w:asciiTheme="minorHAnsi" w:hAnsiTheme="minorHAnsi" w:cstheme="minorHAnsi"/>
              </w:rPr>
              <w:t xml:space="preserve">t of a pot before dumping it and ask for help when lifting </w:t>
            </w:r>
            <w:r w:rsidR="0055430F">
              <w:rPr>
                <w:rFonts w:asciiTheme="minorHAnsi" w:hAnsiTheme="minorHAnsi" w:cstheme="minorHAnsi"/>
              </w:rPr>
              <w:t>excessively heavy loads</w:t>
            </w:r>
            <w:r>
              <w:rPr>
                <w:rFonts w:asciiTheme="minorHAnsi" w:hAnsiTheme="minorHAnsi" w:cstheme="minorHAnsi"/>
              </w:rPr>
              <w:t>.</w:t>
            </w:r>
            <w:r w:rsidR="0055430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7C58BC">
        <w:trPr>
          <w:trHeight w:val="556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C26410" w:rsidP="00C26410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bottom"/>
          </w:tcPr>
          <w:p w:rsidR="00F81AE7" w:rsidRPr="00D93E82" w:rsidRDefault="00C26410" w:rsidP="00712170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55430F">
              <w:rPr>
                <w:rFonts w:asciiTheme="minorHAnsi" w:hAnsiTheme="minorHAnsi" w:cstheme="minorHAnsi"/>
              </w:rPr>
              <w:t xml:space="preserve">ift with your legs, keep your back straight and keep the load close to your body. </w:t>
            </w:r>
          </w:p>
        </w:tc>
      </w:tr>
      <w:tr w:rsidR="00D93E82" w:rsidRPr="00D93E82" w:rsidTr="006F2B45">
        <w:trPr>
          <w:trHeight w:val="518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C26410" w:rsidP="00C26410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6652B0" w:rsidP="006F2B4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Avoid twisting at the hip while holding a heavy load. 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DF3CE8">
        <w:trPr>
          <w:trHeight w:val="484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C26410" w:rsidP="00C26410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6652B0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Wear gloves at all times to protect your hands from injury.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C26410" w:rsidP="00C26410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793691" w:rsidRDefault="00853AFB" w:rsidP="00853AF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Stack </w:t>
            </w:r>
            <w:r w:rsidR="006652B0">
              <w:rPr>
                <w:rFonts w:asciiTheme="minorHAnsi" w:hAnsiTheme="minorHAnsi" w:cstheme="minorHAnsi"/>
              </w:rPr>
              <w:t>empty pot</w:t>
            </w:r>
            <w:r w:rsidR="005A7AC5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5A7AC5">
              <w:rPr>
                <w:rFonts w:asciiTheme="minorHAnsi" w:hAnsiTheme="minorHAnsi" w:cstheme="minorHAnsi"/>
              </w:rPr>
              <w:t>secure</w:t>
            </w:r>
            <w:r>
              <w:rPr>
                <w:rFonts w:asciiTheme="minorHAnsi" w:hAnsiTheme="minorHAnsi" w:cstheme="minorHAnsi"/>
              </w:rPr>
              <w:t xml:space="preserve"> them</w:t>
            </w:r>
            <w:r w:rsidR="005A7AC5">
              <w:rPr>
                <w:rFonts w:asciiTheme="minorHAnsi" w:hAnsiTheme="minorHAnsi" w:cstheme="minorHAnsi"/>
              </w:rPr>
              <w:t xml:space="preserve"> in such a way that they</w:t>
            </w:r>
            <w:r w:rsidR="006652B0">
              <w:rPr>
                <w:rFonts w:asciiTheme="minorHAnsi" w:hAnsiTheme="minorHAnsi" w:cstheme="minorHAnsi"/>
              </w:rPr>
              <w:t xml:space="preserve"> will not fall onto the deck if the vessels leans.</w:t>
            </w:r>
          </w:p>
        </w:tc>
      </w:tr>
      <w:tr w:rsidR="00D93E82" w:rsidRPr="00D93E82" w:rsidTr="00C26410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853AFB" w:rsidP="00853AFB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bookmarkStart w:id="3" w:name="_GoBack"/>
            <w:bookmarkEnd w:id="3"/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C26410" w:rsidP="00C2641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Keep an eye on</w:t>
            </w:r>
            <w:r w:rsidR="00D25437">
              <w:rPr>
                <w:rFonts w:asciiTheme="minorHAnsi" w:hAnsiTheme="minorHAnsi" w:cstheme="minorHAnsi"/>
              </w:rPr>
              <w:t xml:space="preserve"> ropes and where they are in relation to your workspace.  </w:t>
            </w:r>
            <w:r w:rsidR="006F2B45">
              <w:rPr>
                <w:rFonts w:asciiTheme="minorHAnsi" w:hAnsiTheme="minorHAnsi" w:cstheme="minorHAnsi"/>
              </w:rPr>
              <w:t xml:space="preserve"> </w:t>
            </w:r>
            <w:r w:rsidR="00DF3CE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DB27E0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Handling Pots   </w:t>
    </w:r>
    <w:r w:rsidR="00206783">
      <w:rPr>
        <w:rFonts w:asciiTheme="minorHAnsi" w:hAnsiTheme="minorHAnsi" w:cstheme="minorHAnsi"/>
        <w:color w:val="DD7C2D"/>
        <w:sz w:val="44"/>
        <w:szCs w:val="32"/>
      </w:rPr>
      <w:t xml:space="preserve">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                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853AF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66D67"/>
    <w:rsid w:val="00087DDD"/>
    <w:rsid w:val="000A78F7"/>
    <w:rsid w:val="00154D99"/>
    <w:rsid w:val="001737CD"/>
    <w:rsid w:val="001B266B"/>
    <w:rsid w:val="00206783"/>
    <w:rsid w:val="00213772"/>
    <w:rsid w:val="0025008F"/>
    <w:rsid w:val="002A7CDA"/>
    <w:rsid w:val="0035391B"/>
    <w:rsid w:val="003566E0"/>
    <w:rsid w:val="0036679B"/>
    <w:rsid w:val="003E6D5D"/>
    <w:rsid w:val="004150B8"/>
    <w:rsid w:val="004A3AA5"/>
    <w:rsid w:val="004A40B4"/>
    <w:rsid w:val="004A68DB"/>
    <w:rsid w:val="0055072C"/>
    <w:rsid w:val="00550979"/>
    <w:rsid w:val="0055430F"/>
    <w:rsid w:val="005A4825"/>
    <w:rsid w:val="005A7AC5"/>
    <w:rsid w:val="006200CE"/>
    <w:rsid w:val="006652B0"/>
    <w:rsid w:val="006668E4"/>
    <w:rsid w:val="00693834"/>
    <w:rsid w:val="006D7531"/>
    <w:rsid w:val="006F2B45"/>
    <w:rsid w:val="007074E3"/>
    <w:rsid w:val="00712170"/>
    <w:rsid w:val="00774EFA"/>
    <w:rsid w:val="00793691"/>
    <w:rsid w:val="007C58BC"/>
    <w:rsid w:val="00853AFB"/>
    <w:rsid w:val="008876D6"/>
    <w:rsid w:val="008A74BA"/>
    <w:rsid w:val="0093749E"/>
    <w:rsid w:val="00975E87"/>
    <w:rsid w:val="009A7380"/>
    <w:rsid w:val="009E1974"/>
    <w:rsid w:val="009F19CB"/>
    <w:rsid w:val="00A87FE2"/>
    <w:rsid w:val="00A91450"/>
    <w:rsid w:val="00A91BA9"/>
    <w:rsid w:val="00B23EF2"/>
    <w:rsid w:val="00B455DE"/>
    <w:rsid w:val="00B676CE"/>
    <w:rsid w:val="00BA6801"/>
    <w:rsid w:val="00BB5BA5"/>
    <w:rsid w:val="00BF23CA"/>
    <w:rsid w:val="00C247BD"/>
    <w:rsid w:val="00C26410"/>
    <w:rsid w:val="00C34C07"/>
    <w:rsid w:val="00C478F6"/>
    <w:rsid w:val="00CA3D1A"/>
    <w:rsid w:val="00CB1989"/>
    <w:rsid w:val="00CF4A8C"/>
    <w:rsid w:val="00CF7CA8"/>
    <w:rsid w:val="00D25437"/>
    <w:rsid w:val="00D35777"/>
    <w:rsid w:val="00D70561"/>
    <w:rsid w:val="00D73292"/>
    <w:rsid w:val="00D93E82"/>
    <w:rsid w:val="00DA424C"/>
    <w:rsid w:val="00DB27E0"/>
    <w:rsid w:val="00DE1E7A"/>
    <w:rsid w:val="00DF3CE8"/>
    <w:rsid w:val="00E2499B"/>
    <w:rsid w:val="00E30192"/>
    <w:rsid w:val="00E87BD9"/>
    <w:rsid w:val="00EE5506"/>
    <w:rsid w:val="00F50FF6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3</cp:revision>
  <cp:lastPrinted>2019-02-12T19:23:00Z</cp:lastPrinted>
  <dcterms:created xsi:type="dcterms:W3CDTF">2019-04-08T10:39:00Z</dcterms:created>
  <dcterms:modified xsi:type="dcterms:W3CDTF">2019-04-08T10:41:00Z</dcterms:modified>
</cp:coreProperties>
</file>