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E423D3">
        <w:rPr>
          <w:rFonts w:asciiTheme="minorHAnsi" w:hAnsiTheme="minorHAnsi" w:cstheme="minorHAnsi"/>
        </w:rPr>
        <w:t xml:space="preserve">aid in </w:t>
      </w:r>
      <w:r w:rsidR="00143131">
        <w:rPr>
          <w:rFonts w:asciiTheme="minorHAnsi" w:hAnsiTheme="minorHAnsi" w:cstheme="minorHAnsi"/>
        </w:rPr>
        <w:t>reducing the risk of injury due to working aloft</w:t>
      </w:r>
      <w:r w:rsidR="000F714B">
        <w:rPr>
          <w:rFonts w:asciiTheme="minorHAnsi" w:hAnsiTheme="minorHAnsi" w:cstheme="minorHAnsi"/>
        </w:rPr>
        <w:t xml:space="preserve">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E4148F" w:rsidP="00E423D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Working Aloft</w:t>
            </w:r>
          </w:p>
        </w:tc>
      </w:tr>
      <w:tr w:rsidR="00D93E82" w:rsidRPr="00D93E82" w:rsidTr="00E4148F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E4148F" w:rsidRDefault="00E4148F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a </w:t>
            </w:r>
            <w:proofErr w:type="spellStart"/>
            <w:r>
              <w:rPr>
                <w:rFonts w:asciiTheme="minorHAnsi" w:hAnsiTheme="minorHAnsi" w:cstheme="minorHAnsi"/>
              </w:rPr>
              <w:t>bosun’s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chair and safety line when working aloft. A construction style self-retractable lanyard and “dog leash” may also be suitable in place of a safety line.  </w:t>
            </w:r>
          </w:p>
        </w:tc>
      </w:tr>
      <w:tr w:rsidR="00E4148F" w:rsidRPr="00D93E82" w:rsidTr="00E4148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E4148F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E4148F" w:rsidRDefault="00E4148F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Tie-off tools and parts when working aloft so they won’t drop and injure those below. </w:t>
            </w:r>
          </w:p>
        </w:tc>
      </w:tr>
      <w:tr w:rsidR="00E4148F" w:rsidRPr="00D93E82" w:rsidTr="00E4148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4148F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E4148F" w:rsidRDefault="00E4148F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Delineate a drop zone below and let crewmembers know not to enter that area until the overhead work is complete.</w:t>
            </w:r>
          </w:p>
        </w:tc>
      </w:tr>
      <w:tr w:rsidR="00E4148F" w:rsidRPr="00D93E82" w:rsidTr="00E4148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E4148F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E4148F" w:rsidRDefault="00E4148F" w:rsidP="0076766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Turn off radio antennae and radar scanners when working aloft as these devices emit radiation, and the torque of a rotating scanner can cause serious injuries. </w:t>
            </w:r>
            <w:r w:rsidR="0076766A">
              <w:rPr>
                <w:rFonts w:asciiTheme="minorHAnsi" w:hAnsiTheme="minorHAnsi" w:cstheme="minorHAnsi"/>
              </w:rPr>
              <w:t xml:space="preserve">Tag by placing a </w:t>
            </w:r>
            <w:r w:rsidRPr="0076766A">
              <w:rPr>
                <w:rFonts w:asciiTheme="minorHAnsi" w:hAnsiTheme="minorHAnsi" w:cstheme="minorHAnsi"/>
              </w:rPr>
              <w:t>sign stating “D</w:t>
            </w:r>
            <w:r w:rsidR="00177097" w:rsidRPr="0076766A">
              <w:rPr>
                <w:rFonts w:asciiTheme="minorHAnsi" w:hAnsiTheme="minorHAnsi" w:cstheme="minorHAnsi"/>
              </w:rPr>
              <w:t>o</w:t>
            </w:r>
            <w:r w:rsidRPr="0076766A">
              <w:rPr>
                <w:rFonts w:asciiTheme="minorHAnsi" w:hAnsiTheme="minorHAnsi" w:cstheme="minorHAnsi"/>
              </w:rPr>
              <w:t xml:space="preserve"> Not Operate Radar” on the radar control panel</w:t>
            </w:r>
            <w:r w:rsidR="0076766A">
              <w:rPr>
                <w:rFonts w:asciiTheme="minorHAnsi" w:hAnsiTheme="minorHAnsi" w:cstheme="minorHAnsi"/>
              </w:rPr>
              <w:t xml:space="preserve"> and lock out the equipment until operation has been completed</w:t>
            </w:r>
            <w:bookmarkStart w:id="3" w:name="_GoBack"/>
            <w:bookmarkEnd w:id="3"/>
            <w:r w:rsidRPr="0076766A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:rsidR="00751772" w:rsidRDefault="00751772"/>
    <w:p w:rsidR="00751772" w:rsidRPr="00751772" w:rsidRDefault="00751772" w:rsidP="00751772"/>
    <w:p w:rsidR="00751772" w:rsidRPr="00751772" w:rsidRDefault="00751772" w:rsidP="00751772"/>
    <w:p w:rsidR="00751772" w:rsidRPr="00751772" w:rsidRDefault="00751772" w:rsidP="00751772"/>
    <w:p w:rsidR="00751772" w:rsidRDefault="00751772" w:rsidP="00751772"/>
    <w:p w:rsidR="006668E4" w:rsidRPr="00751772" w:rsidRDefault="00751772" w:rsidP="00751772">
      <w:pPr>
        <w:tabs>
          <w:tab w:val="left" w:pos="8865"/>
        </w:tabs>
      </w:pPr>
      <w:r>
        <w:tab/>
      </w:r>
    </w:p>
    <w:sectPr w:rsidR="006668E4" w:rsidRPr="00751772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143131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Working Aloft</w:t>
    </w:r>
    <w:r w:rsidR="000B6C4B">
      <w:rPr>
        <w:rFonts w:asciiTheme="minorHAnsi" w:hAnsiTheme="minorHAnsi" w:cstheme="minorHAnsi"/>
        <w:color w:val="DD7C2D"/>
        <w:sz w:val="44"/>
        <w:szCs w:val="32"/>
      </w:rPr>
      <w:t xml:space="preserve">               </w:t>
    </w:r>
    <w:r w:rsidR="00FD5EE0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76766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2590"/>
    <w:multiLevelType w:val="hybridMultilevel"/>
    <w:tmpl w:val="7110D378"/>
    <w:lvl w:ilvl="0" w:tplc="2AF451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16DD0"/>
    <w:rsid w:val="000235E6"/>
    <w:rsid w:val="00066D67"/>
    <w:rsid w:val="00087DDD"/>
    <w:rsid w:val="00092AFC"/>
    <w:rsid w:val="000A78F7"/>
    <w:rsid w:val="000B6C4B"/>
    <w:rsid w:val="000E12BC"/>
    <w:rsid w:val="000F714B"/>
    <w:rsid w:val="00103625"/>
    <w:rsid w:val="00143131"/>
    <w:rsid w:val="00154D99"/>
    <w:rsid w:val="00161EE5"/>
    <w:rsid w:val="001737CD"/>
    <w:rsid w:val="00177097"/>
    <w:rsid w:val="001B266B"/>
    <w:rsid w:val="00206783"/>
    <w:rsid w:val="00213772"/>
    <w:rsid w:val="00233ADE"/>
    <w:rsid w:val="0025008F"/>
    <w:rsid w:val="00280C72"/>
    <w:rsid w:val="002D626C"/>
    <w:rsid w:val="00352BAC"/>
    <w:rsid w:val="0035391B"/>
    <w:rsid w:val="003566E0"/>
    <w:rsid w:val="0036679B"/>
    <w:rsid w:val="00366CF3"/>
    <w:rsid w:val="00372278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50DA6"/>
    <w:rsid w:val="005527AD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23CA1"/>
    <w:rsid w:val="00751772"/>
    <w:rsid w:val="00752A14"/>
    <w:rsid w:val="0076766A"/>
    <w:rsid w:val="00774EFA"/>
    <w:rsid w:val="00793691"/>
    <w:rsid w:val="007B3FEC"/>
    <w:rsid w:val="007C58BC"/>
    <w:rsid w:val="00850CBD"/>
    <w:rsid w:val="008876D6"/>
    <w:rsid w:val="008A74BA"/>
    <w:rsid w:val="008F50B4"/>
    <w:rsid w:val="009324DA"/>
    <w:rsid w:val="0093749E"/>
    <w:rsid w:val="00975E87"/>
    <w:rsid w:val="009A7380"/>
    <w:rsid w:val="009C224A"/>
    <w:rsid w:val="009E1974"/>
    <w:rsid w:val="009F19CB"/>
    <w:rsid w:val="00A42F70"/>
    <w:rsid w:val="00A45A1D"/>
    <w:rsid w:val="00A547E8"/>
    <w:rsid w:val="00A87FE2"/>
    <w:rsid w:val="00A91450"/>
    <w:rsid w:val="00A91BA9"/>
    <w:rsid w:val="00AA4952"/>
    <w:rsid w:val="00B0475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E4CB6"/>
    <w:rsid w:val="00DF3CE8"/>
    <w:rsid w:val="00E2499B"/>
    <w:rsid w:val="00E30192"/>
    <w:rsid w:val="00E4148F"/>
    <w:rsid w:val="00E423D3"/>
    <w:rsid w:val="00E87BD9"/>
    <w:rsid w:val="00EB72AA"/>
    <w:rsid w:val="00EE5506"/>
    <w:rsid w:val="00F27288"/>
    <w:rsid w:val="00F4797E"/>
    <w:rsid w:val="00F50FF6"/>
    <w:rsid w:val="00F52B62"/>
    <w:rsid w:val="00F5650E"/>
    <w:rsid w:val="00F81AE7"/>
    <w:rsid w:val="00FC4D1C"/>
    <w:rsid w:val="00FD47F4"/>
    <w:rsid w:val="00FD5EE0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2019-04-08T12:10:00Z</dcterms:created>
  <dcterms:modified xsi:type="dcterms:W3CDTF">2019-04-08T12:10:00Z</dcterms:modified>
</cp:coreProperties>
</file>