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1E322F">
        <w:rPr>
          <w:rFonts w:asciiTheme="minorHAnsi" w:hAnsiTheme="minorHAnsi" w:cstheme="minorHAnsi"/>
        </w:rPr>
        <w:t>safely carry out regular engine room checks while at sea.</w:t>
      </w:r>
      <w:r w:rsidR="005F4377">
        <w:rPr>
          <w:rFonts w:asciiTheme="minorHAnsi" w:hAnsiTheme="minorHAnsi" w:cstheme="minorHAnsi"/>
        </w:rPr>
        <w:t xml:space="preserve"> The engine room should be checked every hour or two at a minimum. Lubricating prop shaft bearings and checking for oil leaks and worn belts can prevent breakdowns at sea which may be hazardous if sea conditions become unfavourable.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  <w:r w:rsidR="00E0450C">
        <w:rPr>
          <w:rFonts w:asciiTheme="minorHAnsi" w:hAnsiTheme="minorHAnsi" w:cstheme="minorHAnsi"/>
        </w:rPr>
        <w:t xml:space="preserve"> To monitor the wellbeing of crew members who enter the engine room via checks or video feed. 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master.</w:t>
      </w:r>
      <w:r w:rsidR="00DF3CE8">
        <w:rPr>
          <w:rFonts w:asciiTheme="minorHAnsi" w:hAnsiTheme="minorHAnsi" w:cstheme="minorHAnsi"/>
        </w:rPr>
        <w:t xml:space="preserve"> 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5F4377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Engine Room Check Procedure</w:t>
            </w:r>
          </w:p>
        </w:tc>
      </w:tr>
      <w:tr w:rsidR="00D93E82" w:rsidRPr="00D93E82" w:rsidTr="002B6EDD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  <w:vAlign w:val="center"/>
          </w:tcPr>
          <w:p w:rsidR="00D93E82" w:rsidRPr="00D93E82" w:rsidRDefault="00D93E82" w:rsidP="002B6EDD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247BD" w:rsidRPr="00D93E82" w:rsidRDefault="002B6EDD" w:rsidP="002B6E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Before entering</w:t>
            </w:r>
            <w:r w:rsidR="00E103E0">
              <w:rPr>
                <w:rFonts w:asciiTheme="minorHAnsi" w:hAnsiTheme="minorHAnsi" w:cstheme="minorHAnsi"/>
              </w:rPr>
              <w:t xml:space="preserve"> the</w:t>
            </w:r>
            <w:r>
              <w:rPr>
                <w:rFonts w:asciiTheme="minorHAnsi" w:hAnsiTheme="minorHAnsi" w:cstheme="minorHAnsi"/>
              </w:rPr>
              <w:t xml:space="preserve"> engine room, ensure the skipper is aware of your plans. </w:t>
            </w:r>
          </w:p>
        </w:tc>
      </w:tr>
      <w:tr w:rsidR="00D93E82" w:rsidRPr="00D93E82" w:rsidTr="0058521D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B676CE" w:rsidRPr="00D93E82" w:rsidRDefault="00E103E0" w:rsidP="0058521D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Upon entering the engine room, don a pair of ear muffs to protect yourself from potentially damaging noise levels.</w:t>
            </w:r>
            <w:r w:rsidR="00E0450C">
              <w:rPr>
                <w:rFonts w:asciiTheme="minorHAnsi" w:hAnsiTheme="minorHAnsi" w:cstheme="minorHAnsi"/>
              </w:rPr>
              <w:t xml:space="preserve"> Take a second to smell the air for potential unexpected fumes before entering.</w:t>
            </w:r>
          </w:p>
        </w:tc>
      </w:tr>
      <w:tr w:rsidR="00856482" w:rsidRPr="00D93E82" w:rsidTr="0058521D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856482" w:rsidRPr="00D93E82" w:rsidRDefault="008564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856482" w:rsidRDefault="00856482" w:rsidP="0085648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Check on a regular basis engine oil and coolant levels, bilges, and alarms for bilges, engine, and engine room.  </w:t>
            </w:r>
          </w:p>
        </w:tc>
      </w:tr>
      <w:tr w:rsidR="00D93E82" w:rsidRPr="00D93E82" w:rsidTr="00E103E0">
        <w:trPr>
          <w:trHeight w:val="849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856482" w:rsidP="00856482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E103E0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Inspect and lubricate prop shaft bearings while maintaining a safe distance. Ensure you aren’t wearing loose clothing that may become caught in rotating components. </w:t>
            </w:r>
          </w:p>
        </w:tc>
      </w:tr>
      <w:tr w:rsidR="00BF7078" w:rsidRPr="00D93E82" w:rsidTr="00BF7078">
        <w:trPr>
          <w:trHeight w:val="849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BF7078" w:rsidRPr="00D93E82" w:rsidRDefault="00856482" w:rsidP="00856482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BF7078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BF7078" w:rsidRPr="00D93E82" w:rsidRDefault="00BF7078" w:rsidP="00BF707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belts for wear, and look for oil leaks around fittings and gaskets. Do not touch the engine without gloves as the surface may be excessively hot.</w:t>
            </w:r>
          </w:p>
        </w:tc>
      </w:tr>
      <w:tr w:rsidR="00D93E82" w:rsidRPr="00D93E82" w:rsidTr="00E0450C">
        <w:trPr>
          <w:trHeight w:val="694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93E82" w:rsidRPr="00D93E82" w:rsidRDefault="00856482" w:rsidP="00856482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D93E82" w:rsidRPr="00D93E82" w:rsidRDefault="00E0450C" w:rsidP="00E103E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that the engine area is free from flammable materials. </w:t>
            </w:r>
            <w:r w:rsidR="007A08FC">
              <w:rPr>
                <w:rFonts w:asciiTheme="minorHAnsi" w:hAnsiTheme="minorHAnsi" w:cstheme="minorHAnsi"/>
              </w:rPr>
              <w:t xml:space="preserve"> </w:t>
            </w:r>
            <w:r w:rsidR="00DF3C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E0450C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856482" w:rsidP="00856482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bookmarkStart w:id="3" w:name="_GoBack"/>
            <w:bookmarkEnd w:id="3"/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E0450C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Leave the engine room and let the skipper know you have done so. </w:t>
            </w:r>
            <w:r w:rsidR="00BA288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92133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Engine Room Checks                                             </w:t>
    </w:r>
    <w:r w:rsidR="0085648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B266B"/>
    <w:rsid w:val="001E322F"/>
    <w:rsid w:val="00213772"/>
    <w:rsid w:val="0025008F"/>
    <w:rsid w:val="002B6EDD"/>
    <w:rsid w:val="0035391B"/>
    <w:rsid w:val="003566E0"/>
    <w:rsid w:val="0036679B"/>
    <w:rsid w:val="0038196C"/>
    <w:rsid w:val="003E6D5D"/>
    <w:rsid w:val="004064D6"/>
    <w:rsid w:val="004150B8"/>
    <w:rsid w:val="004A3AA5"/>
    <w:rsid w:val="004A40B4"/>
    <w:rsid w:val="004A68DB"/>
    <w:rsid w:val="0055072C"/>
    <w:rsid w:val="00550979"/>
    <w:rsid w:val="0058521D"/>
    <w:rsid w:val="005A4825"/>
    <w:rsid w:val="005B61D7"/>
    <w:rsid w:val="005F4377"/>
    <w:rsid w:val="006200CE"/>
    <w:rsid w:val="006668E4"/>
    <w:rsid w:val="00693834"/>
    <w:rsid w:val="007074E3"/>
    <w:rsid w:val="00774EFA"/>
    <w:rsid w:val="00793691"/>
    <w:rsid w:val="007A08FC"/>
    <w:rsid w:val="007C58BC"/>
    <w:rsid w:val="00856482"/>
    <w:rsid w:val="008876D6"/>
    <w:rsid w:val="008A74BA"/>
    <w:rsid w:val="0093749E"/>
    <w:rsid w:val="009A7380"/>
    <w:rsid w:val="009E1974"/>
    <w:rsid w:val="009F19CB"/>
    <w:rsid w:val="00A87FE2"/>
    <w:rsid w:val="00A91450"/>
    <w:rsid w:val="00A91BA9"/>
    <w:rsid w:val="00B455DE"/>
    <w:rsid w:val="00B676CE"/>
    <w:rsid w:val="00BA2880"/>
    <w:rsid w:val="00BA6801"/>
    <w:rsid w:val="00BF23CA"/>
    <w:rsid w:val="00BF7078"/>
    <w:rsid w:val="00C247BD"/>
    <w:rsid w:val="00C34C07"/>
    <w:rsid w:val="00C42F4C"/>
    <w:rsid w:val="00C92133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E1E7A"/>
    <w:rsid w:val="00DF3CE8"/>
    <w:rsid w:val="00E0450C"/>
    <w:rsid w:val="00E103E0"/>
    <w:rsid w:val="00E30192"/>
    <w:rsid w:val="00E87BD9"/>
    <w:rsid w:val="00EE5506"/>
    <w:rsid w:val="00F50FF6"/>
    <w:rsid w:val="00F733C4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2019-04-08T10:33:00Z</dcterms:created>
  <dcterms:modified xsi:type="dcterms:W3CDTF">2019-04-08T10:33:00Z</dcterms:modified>
</cp:coreProperties>
</file>